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0" w:afterAutospacing="0" w:line="555" w:lineRule="atLeast"/>
        <w:jc w:val="both"/>
      </w:pPr>
      <w:r>
        <w:rPr>
          <w:rFonts w:hint="eastAsia" w:ascii="方正小标宋简体" w:hAnsi="方正小标宋简体" w:eastAsia="方正小标宋简体" w:cs="方正小标宋简体"/>
          <w:sz w:val="43"/>
          <w:szCs w:val="43"/>
          <w:lang w:val="en-US" w:eastAsia="zh-CN"/>
        </w:rPr>
        <w:t>附：</w:t>
      </w:r>
      <w:bookmarkStart w:id="0" w:name="_GoBack"/>
      <w:r>
        <w:rPr>
          <w:rFonts w:ascii="方正小标宋简体" w:hAnsi="方正小标宋简体" w:eastAsia="方正小标宋简体" w:cs="方正小标宋简体"/>
          <w:sz w:val="43"/>
          <w:szCs w:val="43"/>
        </w:rPr>
        <w:t>关于开展“加油2020”公益法律服务</w:t>
      </w:r>
    </w:p>
    <w:p>
      <w:pPr>
        <w:pStyle w:val="2"/>
        <w:widowControl/>
        <w:spacing w:after="0" w:afterAutospacing="0" w:line="555" w:lineRule="atLeast"/>
        <w:ind w:left="0" w:firstLine="420"/>
        <w:jc w:val="center"/>
      </w:pPr>
      <w:r>
        <w:rPr>
          <w:rFonts w:hint="default" w:ascii="方正小标宋简体" w:hAnsi="方正小标宋简体" w:eastAsia="方正小标宋简体" w:cs="方正小标宋简体"/>
          <w:sz w:val="43"/>
          <w:szCs w:val="43"/>
        </w:rPr>
        <w:t>专项活动的实施方案</w:t>
      </w:r>
    </w:p>
    <w:bookmarkEnd w:id="0"/>
    <w:p>
      <w:r>
        <w:rPr>
          <w:rFonts w:hint="default"/>
        </w:rPr>
        <w:t> </w:t>
      </w:r>
      <w:r>
        <w:rPr>
          <w:rFonts w:hint="eastAsia"/>
          <w:lang w:eastAsia="zh-CN"/>
        </w:rPr>
        <w:tab/>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为深入贯彻习近平总书记关于新冠肺炎疫情防控工作的重要指示精神和</w:t>
      </w:r>
      <w:r>
        <w:rPr>
          <w:rFonts w:hint="eastAsia" w:ascii="仿宋" w:hAnsi="仿宋" w:eastAsia="仿宋" w:cs="仿宋"/>
          <w:sz w:val="30"/>
          <w:szCs w:val="30"/>
          <w:lang w:eastAsia="zh-CN"/>
        </w:rPr>
        <w:t>盟委、行署的</w:t>
      </w:r>
      <w:r>
        <w:rPr>
          <w:rFonts w:hint="eastAsia" w:ascii="仿宋" w:hAnsi="仿宋" w:eastAsia="仿宋" w:cs="仿宋"/>
          <w:sz w:val="30"/>
          <w:szCs w:val="30"/>
        </w:rPr>
        <w:t>工作部署，充分发挥律师服务经济社会发展的职能作用，全力支持企业抗击疫情、共渡难关，特制定如下方案。</w:t>
      </w:r>
    </w:p>
    <w:p>
      <w:pPr>
        <w:pStyle w:val="2"/>
        <w:widowControl/>
        <w:spacing w:line="555" w:lineRule="atLeast"/>
      </w:pPr>
      <w:r>
        <w:rPr>
          <w:rFonts w:ascii="黑体" w:hAnsi="宋体" w:eastAsia="黑体" w:cs="黑体"/>
          <w:sz w:val="31"/>
          <w:szCs w:val="31"/>
        </w:rPr>
        <w:t>一、</w:t>
      </w:r>
      <w:r>
        <w:rPr>
          <w:rFonts w:ascii="Times New Roman" w:hAnsi="Times New Roman" w:eastAsia="黑体" w:cs="Times New Roman"/>
          <w:sz w:val="13"/>
          <w:szCs w:val="13"/>
        </w:rPr>
        <w:t>  </w:t>
      </w:r>
      <w:r>
        <w:rPr>
          <w:rFonts w:hint="default" w:ascii="Times New Roman" w:hAnsi="Times New Roman" w:eastAsia="黑体" w:cs="Times New Roman"/>
          <w:sz w:val="13"/>
          <w:szCs w:val="13"/>
        </w:rPr>
        <w:t> </w:t>
      </w:r>
      <w:r>
        <w:rPr>
          <w:rFonts w:hint="eastAsia" w:ascii="黑体" w:hAnsi="宋体" w:eastAsia="黑体" w:cs="黑体"/>
          <w:sz w:val="31"/>
          <w:szCs w:val="31"/>
        </w:rPr>
        <w:t>目标任务</w:t>
      </w:r>
    </w:p>
    <w:p>
      <w:pPr>
        <w:pStyle w:val="2"/>
        <w:widowControl/>
        <w:spacing w:line="555" w:lineRule="atLeast"/>
        <w:ind w:left="0" w:firstLine="645"/>
      </w:pPr>
      <w:r>
        <w:rPr>
          <w:rFonts w:hint="default" w:ascii="仿宋_GB2312" w:eastAsia="仿宋_GB2312" w:cs="仿宋_GB2312"/>
          <w:sz w:val="31"/>
          <w:szCs w:val="31"/>
        </w:rPr>
        <w:t>在</w:t>
      </w:r>
      <w:r>
        <w:rPr>
          <w:rFonts w:hint="eastAsia" w:ascii="仿宋_GB2312" w:eastAsia="仿宋_GB2312" w:cs="仿宋_GB2312"/>
          <w:sz w:val="31"/>
          <w:szCs w:val="31"/>
          <w:lang w:eastAsia="zh-CN"/>
        </w:rPr>
        <w:t>全盟</w:t>
      </w:r>
      <w:r>
        <w:rPr>
          <w:rFonts w:hint="default" w:ascii="仿宋_GB2312" w:eastAsia="仿宋_GB2312" w:cs="仿宋_GB2312"/>
          <w:sz w:val="31"/>
          <w:szCs w:val="31"/>
        </w:rPr>
        <w:t>范围内组建</w:t>
      </w:r>
      <w:r>
        <w:rPr>
          <w:rFonts w:hint="eastAsia" w:ascii="仿宋_GB2312" w:eastAsia="仿宋_GB2312" w:cs="仿宋_GB2312"/>
          <w:sz w:val="31"/>
          <w:szCs w:val="31"/>
          <w:lang w:eastAsia="zh-CN"/>
        </w:rPr>
        <w:t>公益</w:t>
      </w:r>
      <w:r>
        <w:rPr>
          <w:rFonts w:hint="default" w:ascii="仿宋_GB2312" w:eastAsia="仿宋_GB2312" w:cs="仿宋_GB2312"/>
          <w:sz w:val="31"/>
          <w:szCs w:val="31"/>
        </w:rPr>
        <w:t>法律</w:t>
      </w:r>
      <w:r>
        <w:rPr>
          <w:rFonts w:hint="eastAsia" w:ascii="仿宋_GB2312" w:eastAsia="仿宋_GB2312" w:cs="仿宋_GB2312"/>
          <w:sz w:val="31"/>
          <w:szCs w:val="31"/>
          <w:lang w:eastAsia="zh-CN"/>
        </w:rPr>
        <w:t>服务</w:t>
      </w:r>
      <w:r>
        <w:rPr>
          <w:rFonts w:hint="default" w:ascii="仿宋_GB2312" w:eastAsia="仿宋_GB2312" w:cs="仿宋_GB2312"/>
          <w:sz w:val="31"/>
          <w:szCs w:val="31"/>
        </w:rPr>
        <w:t>律师志愿团,为在此次疫情中受到巨大冲击和为抗击疫情做出重大贡献的中小</w:t>
      </w:r>
      <w:r>
        <w:rPr>
          <w:rFonts w:hint="eastAsia" w:ascii="仿宋_GB2312" w:eastAsia="仿宋_GB2312" w:cs="仿宋_GB2312"/>
          <w:sz w:val="31"/>
          <w:szCs w:val="31"/>
          <w:lang w:eastAsia="zh-CN"/>
        </w:rPr>
        <w:t>微</w:t>
      </w:r>
      <w:r>
        <w:rPr>
          <w:rFonts w:hint="default" w:ascii="仿宋_GB2312" w:eastAsia="仿宋_GB2312" w:cs="仿宋_GB2312"/>
          <w:sz w:val="31"/>
          <w:szCs w:val="31"/>
        </w:rPr>
        <w:t>企业提供公益法律服务，完善中小</w:t>
      </w:r>
      <w:r>
        <w:rPr>
          <w:rFonts w:hint="eastAsia" w:ascii="仿宋_GB2312" w:eastAsia="仿宋_GB2312" w:cs="仿宋_GB2312"/>
          <w:sz w:val="31"/>
          <w:szCs w:val="31"/>
          <w:lang w:eastAsia="zh-CN"/>
        </w:rPr>
        <w:t>微</w:t>
      </w:r>
      <w:r>
        <w:rPr>
          <w:rFonts w:hint="default" w:ascii="仿宋_GB2312" w:eastAsia="仿宋_GB2312" w:cs="仿宋_GB2312"/>
          <w:sz w:val="31"/>
          <w:szCs w:val="31"/>
        </w:rPr>
        <w:t>企业风险防控能力，帮助企业应对疫情造成的各类法律风险，努力为中小</w:t>
      </w:r>
      <w:r>
        <w:rPr>
          <w:rFonts w:hint="eastAsia" w:ascii="仿宋_GB2312" w:eastAsia="仿宋_GB2312" w:cs="仿宋_GB2312"/>
          <w:sz w:val="31"/>
          <w:szCs w:val="31"/>
          <w:lang w:eastAsia="zh-CN"/>
        </w:rPr>
        <w:t>微</w:t>
      </w:r>
      <w:r>
        <w:rPr>
          <w:rFonts w:hint="default" w:ascii="仿宋_GB2312" w:eastAsia="仿宋_GB2312" w:cs="仿宋_GB2312"/>
          <w:sz w:val="31"/>
          <w:szCs w:val="31"/>
        </w:rPr>
        <w:t>企业抗击疫情冲击提供优质法律服务和坚实法治保障。</w:t>
      </w:r>
    </w:p>
    <w:p>
      <w:pPr>
        <w:pStyle w:val="2"/>
        <w:widowControl/>
        <w:spacing w:line="555" w:lineRule="atLeast"/>
      </w:pPr>
      <w:r>
        <w:rPr>
          <w:rFonts w:hint="eastAsia" w:ascii="黑体" w:hAnsi="宋体" w:eastAsia="黑体" w:cs="黑体"/>
          <w:sz w:val="31"/>
          <w:szCs w:val="31"/>
        </w:rPr>
        <w:t>二、</w:t>
      </w:r>
      <w:r>
        <w:rPr>
          <w:rFonts w:hint="default" w:ascii="Times New Roman" w:hAnsi="Times New Roman" w:eastAsia="黑体" w:cs="Times New Roman"/>
          <w:sz w:val="13"/>
          <w:szCs w:val="13"/>
        </w:rPr>
        <w:t>   </w:t>
      </w:r>
      <w:r>
        <w:rPr>
          <w:rFonts w:hint="eastAsia" w:ascii="黑体" w:hAnsi="宋体" w:eastAsia="黑体" w:cs="黑体"/>
          <w:sz w:val="31"/>
          <w:szCs w:val="31"/>
        </w:rPr>
        <w:t>活动方式</w:t>
      </w:r>
    </w:p>
    <w:p>
      <w:pPr>
        <w:pStyle w:val="2"/>
        <w:keepNext w:val="0"/>
        <w:keepLines w:val="0"/>
        <w:pageBreakBefore w:val="0"/>
        <w:widowControl/>
        <w:kinsoku/>
        <w:wordWrap/>
        <w:overflowPunct/>
        <w:topLinePunct w:val="0"/>
        <w:autoSpaceDE/>
        <w:autoSpaceDN/>
        <w:bidi w:val="0"/>
        <w:adjustRightInd/>
        <w:snapToGrid/>
        <w:spacing w:afterAutospacing="0" w:line="555" w:lineRule="atLeast"/>
        <w:ind w:firstLine="620" w:firstLineChars="200"/>
        <w:textAlignment w:val="auto"/>
        <w:outlineLvl w:val="9"/>
        <w:rPr>
          <w:rFonts w:hint="default" w:ascii="仿宋_GB2312" w:eastAsia="仿宋_GB2312" w:cs="仿宋_GB2312"/>
          <w:sz w:val="31"/>
          <w:szCs w:val="31"/>
        </w:rPr>
      </w:pPr>
      <w:r>
        <w:rPr>
          <w:rFonts w:hint="default" w:ascii="仿宋_GB2312" w:eastAsia="仿宋_GB2312" w:cs="仿宋_GB2312"/>
          <w:sz w:val="31"/>
          <w:szCs w:val="31"/>
        </w:rPr>
        <w:t>（一）经</w:t>
      </w:r>
      <w:r>
        <w:rPr>
          <w:rFonts w:hint="eastAsia" w:ascii="仿宋_GB2312" w:eastAsia="仿宋_GB2312" w:cs="仿宋_GB2312"/>
          <w:sz w:val="31"/>
          <w:szCs w:val="31"/>
          <w:lang w:eastAsia="zh-CN"/>
        </w:rPr>
        <w:t>盟、</w:t>
      </w:r>
      <w:r>
        <w:rPr>
          <w:rFonts w:hint="default" w:ascii="仿宋_GB2312" w:eastAsia="仿宋_GB2312" w:cs="仿宋_GB2312"/>
          <w:sz w:val="31"/>
          <w:szCs w:val="31"/>
        </w:rPr>
        <w:t>市工商联所属商会、团体会员推荐，</w:t>
      </w:r>
      <w:r>
        <w:rPr>
          <w:rFonts w:hint="eastAsia" w:ascii="仿宋_GB2312" w:eastAsia="仿宋_GB2312" w:cs="仿宋_GB2312"/>
          <w:sz w:val="31"/>
          <w:szCs w:val="31"/>
          <w:lang w:eastAsia="zh-CN"/>
        </w:rPr>
        <w:t>盟、</w:t>
      </w:r>
      <w:r>
        <w:rPr>
          <w:rFonts w:hint="default" w:ascii="仿宋_GB2312" w:eastAsia="仿宋_GB2312" w:cs="仿宋_GB2312"/>
          <w:sz w:val="31"/>
          <w:szCs w:val="31"/>
        </w:rPr>
        <w:t>市工商联确定接受服务的中小</w:t>
      </w:r>
      <w:r>
        <w:rPr>
          <w:rFonts w:hint="eastAsia" w:ascii="仿宋_GB2312" w:eastAsia="仿宋_GB2312" w:cs="仿宋_GB2312"/>
          <w:sz w:val="31"/>
          <w:szCs w:val="31"/>
          <w:lang w:eastAsia="zh-CN"/>
        </w:rPr>
        <w:t>微</w:t>
      </w:r>
      <w:r>
        <w:rPr>
          <w:rFonts w:hint="default" w:ascii="仿宋_GB2312" w:eastAsia="仿宋_GB2312" w:cs="仿宋_GB2312"/>
          <w:sz w:val="31"/>
          <w:szCs w:val="31"/>
        </w:rPr>
        <w:t>企业名单。名单确定标准如下：</w:t>
      </w:r>
    </w:p>
    <w:p>
      <w:pPr>
        <w:pStyle w:val="2"/>
        <w:keepNext w:val="0"/>
        <w:keepLines w:val="0"/>
        <w:pageBreakBefore w:val="0"/>
        <w:widowControl/>
        <w:kinsoku/>
        <w:wordWrap/>
        <w:overflowPunct/>
        <w:topLinePunct w:val="0"/>
        <w:autoSpaceDE/>
        <w:autoSpaceDN/>
        <w:bidi w:val="0"/>
        <w:adjustRightInd/>
        <w:snapToGrid/>
        <w:spacing w:afterAutospacing="0" w:line="555" w:lineRule="atLeast"/>
        <w:ind w:firstLine="620" w:firstLineChars="200"/>
        <w:textAlignment w:val="auto"/>
        <w:outlineLvl w:val="9"/>
      </w:pPr>
      <w:r>
        <w:rPr>
          <w:rFonts w:hint="default" w:ascii="仿宋_GB2312" w:eastAsia="仿宋_GB2312" w:cs="仿宋_GB2312"/>
          <w:sz w:val="31"/>
          <w:szCs w:val="31"/>
        </w:rPr>
        <w:t>1.在本次疫情发生过程中，受到巨大冲击的；</w:t>
      </w:r>
    </w:p>
    <w:p>
      <w:pPr>
        <w:pStyle w:val="2"/>
        <w:keepNext w:val="0"/>
        <w:keepLines w:val="0"/>
        <w:pageBreakBefore w:val="0"/>
        <w:widowControl/>
        <w:kinsoku/>
        <w:wordWrap/>
        <w:overflowPunct/>
        <w:topLinePunct w:val="0"/>
        <w:autoSpaceDE/>
        <w:autoSpaceDN/>
        <w:bidi w:val="0"/>
        <w:adjustRightInd/>
        <w:snapToGrid/>
        <w:spacing w:after="0" w:afterAutospacing="0" w:line="555" w:lineRule="atLeast"/>
        <w:ind w:left="0" w:firstLine="620" w:firstLineChars="200"/>
        <w:jc w:val="both"/>
        <w:textAlignment w:val="auto"/>
        <w:outlineLvl w:val="9"/>
      </w:pPr>
      <w:r>
        <w:rPr>
          <w:rFonts w:hint="default" w:ascii="仿宋_GB2312" w:eastAsia="仿宋_GB2312" w:cs="仿宋_GB2312"/>
          <w:sz w:val="31"/>
          <w:szCs w:val="31"/>
        </w:rPr>
        <w:t>2.积极对接社会资源，成功组织、统筹救灾物资并对接疫区的，包括募集口罩、护目镜、防护服等紧急医疗物资；</w:t>
      </w:r>
    </w:p>
    <w:p>
      <w:pPr>
        <w:pStyle w:val="2"/>
        <w:keepNext w:val="0"/>
        <w:keepLines w:val="0"/>
        <w:pageBreakBefore w:val="0"/>
        <w:widowControl/>
        <w:kinsoku/>
        <w:wordWrap/>
        <w:overflowPunct/>
        <w:topLinePunct w:val="0"/>
        <w:autoSpaceDE/>
        <w:autoSpaceDN/>
        <w:bidi w:val="0"/>
        <w:adjustRightInd/>
        <w:snapToGrid/>
        <w:spacing w:after="0" w:afterAutospacing="0" w:line="555" w:lineRule="atLeast"/>
        <w:ind w:left="0" w:firstLine="620" w:firstLineChars="200"/>
        <w:jc w:val="both"/>
        <w:textAlignment w:val="auto"/>
        <w:outlineLvl w:val="9"/>
      </w:pPr>
      <w:r>
        <w:rPr>
          <w:rFonts w:hint="default" w:ascii="仿宋_GB2312" w:eastAsia="仿宋_GB2312" w:cs="仿宋_GB2312"/>
          <w:sz w:val="31"/>
          <w:szCs w:val="31"/>
        </w:rPr>
        <w:t>3.向疫区捐款、捐物的；</w:t>
      </w:r>
    </w:p>
    <w:p>
      <w:pPr>
        <w:pStyle w:val="2"/>
        <w:keepNext w:val="0"/>
        <w:keepLines w:val="0"/>
        <w:pageBreakBefore w:val="0"/>
        <w:widowControl/>
        <w:kinsoku/>
        <w:wordWrap/>
        <w:overflowPunct/>
        <w:topLinePunct w:val="0"/>
        <w:autoSpaceDE/>
        <w:autoSpaceDN/>
        <w:bidi w:val="0"/>
        <w:adjustRightInd/>
        <w:snapToGrid/>
        <w:spacing w:after="0" w:afterAutospacing="0" w:line="555" w:lineRule="atLeast"/>
        <w:ind w:left="0" w:firstLine="620" w:firstLineChars="200"/>
        <w:jc w:val="both"/>
        <w:textAlignment w:val="auto"/>
        <w:outlineLvl w:val="9"/>
      </w:pPr>
      <w:r>
        <w:rPr>
          <w:rFonts w:hint="default" w:ascii="仿宋_GB2312" w:eastAsia="仿宋_GB2312" w:cs="仿宋_GB2312"/>
          <w:sz w:val="31"/>
          <w:szCs w:val="31"/>
        </w:rPr>
        <w:t>4.为了应对疫情，在假期期间组织企业加班加点进行生产、包装、运送防疫物资或受疫情影响较为严重，但仍积极履行企业社会义务，正常向员工支付薪资的；</w:t>
      </w:r>
    </w:p>
    <w:p>
      <w:pPr>
        <w:pStyle w:val="2"/>
        <w:widowControl/>
        <w:spacing w:after="0" w:afterAutospacing="0" w:line="555" w:lineRule="atLeast"/>
        <w:ind w:left="0" w:firstLine="645"/>
        <w:jc w:val="both"/>
      </w:pPr>
      <w:r>
        <w:rPr>
          <w:rFonts w:hint="default" w:ascii="仿宋_GB2312" w:eastAsia="仿宋_GB2312" w:cs="仿宋_GB2312"/>
          <w:sz w:val="31"/>
          <w:szCs w:val="31"/>
        </w:rPr>
        <w:t>5.在此次防疫过程中被政府征用作为临时隔离点的各类公共场所的经营者；</w:t>
      </w:r>
    </w:p>
    <w:p>
      <w:pPr>
        <w:pStyle w:val="2"/>
        <w:widowControl/>
        <w:spacing w:after="0" w:afterAutospacing="0" w:line="555" w:lineRule="atLeast"/>
        <w:ind w:left="0" w:firstLine="645"/>
        <w:jc w:val="both"/>
      </w:pPr>
      <w:r>
        <w:rPr>
          <w:rFonts w:hint="default" w:ascii="仿宋_GB2312" w:eastAsia="仿宋_GB2312" w:cs="仿宋_GB2312"/>
          <w:sz w:val="31"/>
          <w:szCs w:val="31"/>
        </w:rPr>
        <w:t>6.企业主要投资人、法定代表人的近亲属系奋斗在一线的医务工作人员、社区工作人员及警务工作人员的。</w:t>
      </w:r>
    </w:p>
    <w:p>
      <w:pPr>
        <w:pStyle w:val="2"/>
        <w:widowControl/>
        <w:spacing w:line="555" w:lineRule="atLeast"/>
        <w:ind w:left="0" w:firstLine="645"/>
      </w:pPr>
      <w:r>
        <w:rPr>
          <w:rFonts w:hint="default" w:ascii="仿宋_GB2312" w:eastAsia="仿宋_GB2312" w:cs="仿宋_GB2312"/>
          <w:sz w:val="31"/>
          <w:szCs w:val="31"/>
        </w:rPr>
        <w:t>（二）</w:t>
      </w:r>
      <w:r>
        <w:rPr>
          <w:rFonts w:hint="eastAsia" w:ascii="仿宋_GB2312" w:eastAsia="仿宋_GB2312" w:cs="仿宋_GB2312"/>
          <w:sz w:val="31"/>
          <w:szCs w:val="31"/>
          <w:lang w:eastAsia="zh-CN"/>
        </w:rPr>
        <w:t>由锡盟</w:t>
      </w:r>
      <w:r>
        <w:rPr>
          <w:rFonts w:hint="default" w:ascii="仿宋_GB2312" w:eastAsia="仿宋_GB2312" w:cs="仿宋_GB2312"/>
          <w:sz w:val="31"/>
          <w:szCs w:val="31"/>
        </w:rPr>
        <w:t>律师协会确定律师志愿团名单。参加志愿团的律师应当符合下列条件：</w:t>
      </w:r>
    </w:p>
    <w:p>
      <w:pPr>
        <w:pStyle w:val="2"/>
        <w:widowControl/>
        <w:spacing w:line="555" w:lineRule="atLeast"/>
        <w:ind w:left="0" w:firstLine="645"/>
      </w:pPr>
      <w:r>
        <w:rPr>
          <w:rFonts w:hint="default" w:ascii="仿宋_GB2312" w:eastAsia="仿宋_GB2312" w:cs="仿宋_GB2312"/>
          <w:sz w:val="31"/>
          <w:szCs w:val="31"/>
        </w:rPr>
        <w:t>1.政治过硬，具有一定政策理论水平，熟悉企业法律事务工作；</w:t>
      </w:r>
    </w:p>
    <w:p>
      <w:pPr>
        <w:pStyle w:val="2"/>
        <w:widowControl/>
        <w:spacing w:line="555" w:lineRule="atLeast"/>
        <w:ind w:left="0" w:firstLine="645"/>
      </w:pPr>
      <w:r>
        <w:rPr>
          <w:rFonts w:hint="default" w:ascii="仿宋_GB2312" w:eastAsia="仿宋_GB2312" w:cs="仿宋_GB2312"/>
          <w:sz w:val="31"/>
          <w:szCs w:val="31"/>
        </w:rPr>
        <w:t>2.热心公益，有团队合作精神，工作作风扎实。</w:t>
      </w:r>
    </w:p>
    <w:p>
      <w:pPr>
        <w:pStyle w:val="2"/>
        <w:widowControl/>
        <w:spacing w:line="555" w:lineRule="atLeast"/>
        <w:ind w:left="0" w:firstLine="645"/>
      </w:pPr>
      <w:r>
        <w:rPr>
          <w:rFonts w:hint="default" w:ascii="仿宋_GB2312" w:eastAsia="仿宋_GB2312" w:cs="仿宋_GB2312"/>
          <w:sz w:val="31"/>
          <w:szCs w:val="31"/>
        </w:rPr>
        <w:t>符合条件的中共党员律师、律师协会相关专业委员会负责人，应当带头参加律师志愿团。</w:t>
      </w:r>
    </w:p>
    <w:p>
      <w:pPr>
        <w:pStyle w:val="2"/>
        <w:widowControl/>
        <w:spacing w:line="555" w:lineRule="atLeast"/>
        <w:ind w:left="0" w:firstLine="645"/>
      </w:pPr>
      <w:r>
        <w:rPr>
          <w:rFonts w:hint="default" w:ascii="仿宋_GB2312" w:eastAsia="仿宋_GB2312" w:cs="仿宋_GB2312"/>
          <w:sz w:val="31"/>
          <w:szCs w:val="31"/>
        </w:rPr>
        <w:t>（三）志愿律师通过与符合条件的企业签订正式的免费委托服务合同，提供专门法律服务。</w:t>
      </w:r>
    </w:p>
    <w:p>
      <w:pPr>
        <w:pStyle w:val="2"/>
        <w:widowControl/>
        <w:spacing w:line="555" w:lineRule="atLeast"/>
        <w:ind w:left="0" w:firstLine="645"/>
      </w:pPr>
      <w:r>
        <w:rPr>
          <w:rFonts w:hint="eastAsia" w:ascii="黑体" w:hAnsi="宋体" w:eastAsia="黑体" w:cs="黑体"/>
          <w:sz w:val="31"/>
          <w:szCs w:val="31"/>
        </w:rPr>
        <w:t>三、活动内容</w:t>
      </w:r>
    </w:p>
    <w:p>
      <w:pPr>
        <w:pStyle w:val="2"/>
        <w:widowControl/>
        <w:spacing w:line="555" w:lineRule="atLeast"/>
        <w:ind w:left="0" w:firstLine="645"/>
      </w:pPr>
      <w:r>
        <w:rPr>
          <w:rFonts w:ascii="楷体_GB2312" w:eastAsia="楷体_GB2312" w:cs="楷体_GB2312"/>
          <w:sz w:val="31"/>
          <w:szCs w:val="31"/>
        </w:rPr>
        <w:t>一是政策宣讲。</w:t>
      </w:r>
      <w:r>
        <w:rPr>
          <w:rFonts w:hint="default" w:ascii="仿宋_GB2312" w:eastAsia="仿宋_GB2312" w:cs="仿宋_GB2312"/>
          <w:sz w:val="31"/>
          <w:szCs w:val="31"/>
        </w:rPr>
        <w:t>宣讲习近平总书记在中共中央政治局常务委员会、中央全面依法治国委员会第三次会议及疫情期间其他场合发布的重要讲话精神，宣讲国家从立法、执法、司法、守法各环节发力，全面提高依法防控、依法治理能力，为疫情防控工作提供有力法治保障。</w:t>
      </w:r>
    </w:p>
    <w:p>
      <w:pPr>
        <w:pStyle w:val="2"/>
        <w:widowControl/>
        <w:spacing w:line="555" w:lineRule="atLeast"/>
        <w:ind w:left="0" w:firstLine="645"/>
      </w:pPr>
      <w:r>
        <w:rPr>
          <w:rFonts w:hint="default" w:ascii="楷体_GB2312" w:eastAsia="楷体_GB2312" w:cs="楷体_GB2312"/>
          <w:sz w:val="31"/>
          <w:szCs w:val="31"/>
        </w:rPr>
        <w:t>二是法治体检。</w:t>
      </w:r>
      <w:r>
        <w:rPr>
          <w:rFonts w:hint="default" w:ascii="仿宋_GB2312" w:eastAsia="仿宋_GB2312" w:cs="仿宋_GB2312"/>
          <w:sz w:val="31"/>
          <w:szCs w:val="31"/>
        </w:rPr>
        <w:t>根据中小</w:t>
      </w:r>
      <w:r>
        <w:rPr>
          <w:rFonts w:hint="eastAsia" w:ascii="仿宋_GB2312" w:eastAsia="仿宋_GB2312" w:cs="仿宋_GB2312"/>
          <w:sz w:val="31"/>
          <w:szCs w:val="31"/>
          <w:lang w:eastAsia="zh-CN"/>
        </w:rPr>
        <w:t>微</w:t>
      </w:r>
      <w:r>
        <w:rPr>
          <w:rFonts w:hint="default" w:ascii="仿宋_GB2312" w:eastAsia="仿宋_GB2312" w:cs="仿宋_GB2312"/>
          <w:sz w:val="31"/>
          <w:szCs w:val="31"/>
        </w:rPr>
        <w:t>企业的需求，深入了解疫情期间企业生产经营和依法治理情况，帮助企业查找制度漏洞，经营中的法律风险，健全法律风险预警防范机制。</w:t>
      </w:r>
    </w:p>
    <w:p>
      <w:pPr>
        <w:pStyle w:val="2"/>
        <w:widowControl/>
        <w:spacing w:line="555" w:lineRule="atLeast"/>
        <w:ind w:left="0" w:firstLine="645"/>
        <w:rPr>
          <w:color w:val="auto"/>
        </w:rPr>
      </w:pPr>
      <w:r>
        <w:rPr>
          <w:rFonts w:hint="default" w:ascii="楷体_GB2312" w:eastAsia="楷体_GB2312" w:cs="楷体_GB2312"/>
          <w:color w:val="auto"/>
          <w:sz w:val="31"/>
          <w:szCs w:val="31"/>
        </w:rPr>
        <w:t>三是企业法律服务。</w:t>
      </w:r>
      <w:r>
        <w:rPr>
          <w:rFonts w:hint="default" w:ascii="仿宋_GB2312" w:eastAsia="仿宋_GB2312" w:cs="仿宋_GB2312"/>
          <w:color w:val="auto"/>
          <w:sz w:val="31"/>
          <w:szCs w:val="31"/>
        </w:rPr>
        <w:t>为企业提供与疫情相关的专项法律咨询（包括企业经营、商业合规、劳动人事等事项）、解答法律问题，提供合同文本、审核合同要件、发送律师函。</w:t>
      </w:r>
    </w:p>
    <w:p>
      <w:pPr>
        <w:pStyle w:val="2"/>
        <w:widowControl/>
        <w:spacing w:line="555" w:lineRule="atLeast"/>
        <w:ind w:left="0" w:firstLine="645"/>
      </w:pPr>
      <w:r>
        <w:rPr>
          <w:rFonts w:hint="default" w:ascii="楷体_GB2312" w:eastAsia="楷体_GB2312" w:cs="楷体_GB2312"/>
          <w:sz w:val="31"/>
          <w:szCs w:val="31"/>
        </w:rPr>
        <w:t>四是化解矛盾纠纷。</w:t>
      </w:r>
      <w:r>
        <w:rPr>
          <w:rFonts w:hint="default" w:ascii="仿宋_GB2312" w:eastAsia="仿宋_GB2312" w:cs="仿宋_GB2312"/>
          <w:sz w:val="31"/>
          <w:szCs w:val="31"/>
        </w:rPr>
        <w:t>充分发挥律师在矛盾纠纷调处方面的专业优势、实践优势，通过为企业提供律师调解服务，帮助解决法律问题，化解疫情期间的矛盾纠纷。</w:t>
      </w:r>
    </w:p>
    <w:p>
      <w:pPr>
        <w:pStyle w:val="2"/>
        <w:widowControl/>
        <w:spacing w:line="555" w:lineRule="atLeast"/>
        <w:ind w:left="0" w:firstLine="645"/>
      </w:pPr>
      <w:r>
        <w:rPr>
          <w:rFonts w:hint="eastAsia" w:ascii="黑体" w:hAnsi="宋体" w:eastAsia="黑体" w:cs="黑体"/>
          <w:sz w:val="31"/>
          <w:szCs w:val="31"/>
        </w:rPr>
        <w:t>四、实施步骤</w:t>
      </w:r>
    </w:p>
    <w:p>
      <w:pPr>
        <w:pStyle w:val="2"/>
        <w:widowControl/>
        <w:spacing w:line="555" w:lineRule="atLeast"/>
        <w:ind w:left="0" w:firstLine="645"/>
      </w:pPr>
      <w:r>
        <w:rPr>
          <w:rFonts w:hint="default" w:ascii="楷体_GB2312" w:eastAsia="楷体_GB2312" w:cs="楷体_GB2312"/>
          <w:sz w:val="31"/>
          <w:szCs w:val="31"/>
        </w:rPr>
        <w:t>（一）动员部署（</w:t>
      </w:r>
      <w:r>
        <w:rPr>
          <w:rFonts w:hint="eastAsia" w:ascii="楷体_GB2312" w:eastAsia="楷体_GB2312" w:cs="楷体_GB2312"/>
          <w:sz w:val="31"/>
          <w:szCs w:val="31"/>
          <w:lang w:val="en-US" w:eastAsia="zh-CN"/>
        </w:rPr>
        <w:t>3</w:t>
      </w:r>
      <w:r>
        <w:rPr>
          <w:rFonts w:hint="default" w:ascii="楷体_GB2312" w:eastAsia="楷体_GB2312" w:cs="楷体_GB2312"/>
          <w:sz w:val="31"/>
          <w:szCs w:val="31"/>
        </w:rPr>
        <w:t>月</w:t>
      </w:r>
      <w:r>
        <w:rPr>
          <w:rFonts w:hint="eastAsia" w:ascii="楷体_GB2312" w:eastAsia="楷体_GB2312" w:cs="楷体_GB2312"/>
          <w:sz w:val="31"/>
          <w:szCs w:val="31"/>
          <w:lang w:eastAsia="zh-CN"/>
        </w:rPr>
        <w:t>上</w:t>
      </w:r>
      <w:r>
        <w:rPr>
          <w:rFonts w:hint="default" w:ascii="楷体_GB2312" w:eastAsia="楷体_GB2312" w:cs="楷体_GB2312"/>
          <w:sz w:val="31"/>
          <w:szCs w:val="31"/>
        </w:rPr>
        <w:t>旬）</w:t>
      </w:r>
    </w:p>
    <w:p>
      <w:pPr>
        <w:pStyle w:val="2"/>
        <w:widowControl/>
        <w:spacing w:line="555" w:lineRule="atLeast"/>
        <w:ind w:left="0" w:firstLine="645"/>
      </w:pPr>
      <w:r>
        <w:rPr>
          <w:rFonts w:hint="default" w:ascii="仿宋_GB2312" w:eastAsia="仿宋_GB2312" w:cs="仿宋_GB2312"/>
          <w:sz w:val="31"/>
          <w:szCs w:val="31"/>
        </w:rPr>
        <w:t>动员部署安排“加油2020”公益法律服务专项活动。</w:t>
      </w:r>
    </w:p>
    <w:p>
      <w:pPr>
        <w:pStyle w:val="2"/>
        <w:widowControl/>
        <w:spacing w:line="555" w:lineRule="atLeast"/>
        <w:ind w:left="0" w:firstLine="645"/>
      </w:pPr>
      <w:r>
        <w:rPr>
          <w:rFonts w:hint="default" w:ascii="楷体_GB2312" w:eastAsia="楷体_GB2312" w:cs="楷体_GB2312"/>
          <w:sz w:val="31"/>
          <w:szCs w:val="31"/>
        </w:rPr>
        <w:t>（二）组建团队（</w:t>
      </w:r>
      <w:r>
        <w:rPr>
          <w:rFonts w:hint="eastAsia" w:ascii="楷体_GB2312" w:eastAsia="楷体_GB2312" w:cs="楷体_GB2312"/>
          <w:sz w:val="31"/>
          <w:szCs w:val="31"/>
          <w:lang w:val="en-US" w:eastAsia="zh-CN"/>
        </w:rPr>
        <w:t>3</w:t>
      </w:r>
      <w:r>
        <w:rPr>
          <w:rFonts w:hint="default" w:ascii="楷体_GB2312" w:eastAsia="楷体_GB2312" w:cs="楷体_GB2312"/>
          <w:sz w:val="31"/>
          <w:szCs w:val="31"/>
        </w:rPr>
        <w:t>月</w:t>
      </w:r>
      <w:r>
        <w:rPr>
          <w:rFonts w:hint="eastAsia" w:ascii="楷体_GB2312" w:eastAsia="楷体_GB2312" w:cs="楷体_GB2312"/>
          <w:sz w:val="31"/>
          <w:szCs w:val="31"/>
          <w:lang w:eastAsia="zh-CN"/>
        </w:rPr>
        <w:t>中</w:t>
      </w:r>
      <w:r>
        <w:rPr>
          <w:rFonts w:hint="default" w:ascii="楷体_GB2312" w:eastAsia="楷体_GB2312" w:cs="楷体_GB2312"/>
          <w:sz w:val="31"/>
          <w:szCs w:val="31"/>
        </w:rPr>
        <w:t>旬）</w:t>
      </w:r>
    </w:p>
    <w:p>
      <w:pPr>
        <w:pStyle w:val="2"/>
        <w:widowControl/>
        <w:spacing w:line="555" w:lineRule="atLeast"/>
        <w:ind w:left="0" w:firstLine="645"/>
      </w:pPr>
      <w:r>
        <w:rPr>
          <w:rFonts w:hint="default" w:ascii="仿宋_GB2312" w:eastAsia="仿宋_GB2312" w:cs="仿宋_GB2312"/>
          <w:sz w:val="31"/>
          <w:szCs w:val="31"/>
        </w:rPr>
        <w:t>确定接受服务的中小企业名单、律师志愿团名单。</w:t>
      </w:r>
    </w:p>
    <w:p>
      <w:pPr>
        <w:pStyle w:val="2"/>
        <w:widowControl/>
        <w:spacing w:line="555" w:lineRule="atLeast"/>
        <w:ind w:left="0" w:firstLine="645"/>
        <w:rPr>
          <w:color w:val="auto"/>
        </w:rPr>
      </w:pPr>
      <w:r>
        <w:rPr>
          <w:rFonts w:hint="default" w:ascii="楷体_GB2312" w:eastAsia="楷体_GB2312" w:cs="楷体_GB2312"/>
          <w:color w:val="auto"/>
          <w:sz w:val="31"/>
          <w:szCs w:val="31"/>
        </w:rPr>
        <w:t>（三）推进实施（3</w:t>
      </w:r>
      <w:r>
        <w:rPr>
          <w:rFonts w:hint="eastAsia" w:ascii="楷体_GB2312" w:eastAsia="楷体_GB2312" w:cs="楷体_GB2312"/>
          <w:color w:val="auto"/>
          <w:sz w:val="31"/>
          <w:szCs w:val="31"/>
          <w:lang w:eastAsia="zh-CN"/>
        </w:rPr>
        <w:t>月下旬</w:t>
      </w:r>
      <w:r>
        <w:rPr>
          <w:rFonts w:hint="default" w:ascii="楷体_GB2312" w:eastAsia="楷体_GB2312" w:cs="楷体_GB2312"/>
          <w:color w:val="auto"/>
          <w:sz w:val="31"/>
          <w:szCs w:val="31"/>
        </w:rPr>
        <w:t>-6月）</w:t>
      </w:r>
    </w:p>
    <w:p>
      <w:pPr>
        <w:pStyle w:val="2"/>
        <w:widowControl/>
        <w:spacing w:after="0" w:afterAutospacing="0" w:line="555" w:lineRule="atLeast"/>
        <w:ind w:left="0" w:firstLine="645"/>
        <w:jc w:val="both"/>
      </w:pPr>
      <w:r>
        <w:rPr>
          <w:rFonts w:hint="default" w:ascii="仿宋_GB2312" w:eastAsia="仿宋_GB2312" w:cs="仿宋_GB2312"/>
          <w:sz w:val="31"/>
          <w:szCs w:val="31"/>
        </w:rPr>
        <w:t>1.按照实施方案要求，律师志愿团为中小企业提供相关法律服务，认真记录和分析在疫情期间相关法律服务需求，结合当前法律体系，提出法律意见，预防法律风险。</w:t>
      </w:r>
    </w:p>
    <w:p>
      <w:pPr>
        <w:pStyle w:val="2"/>
        <w:widowControl/>
        <w:spacing w:after="0" w:afterAutospacing="0" w:line="555" w:lineRule="atLeast"/>
        <w:ind w:left="0" w:firstLine="645"/>
        <w:jc w:val="both"/>
      </w:pPr>
      <w:r>
        <w:rPr>
          <w:rFonts w:hint="default" w:ascii="仿宋_GB2312" w:eastAsia="仿宋_GB2312" w:cs="仿宋_GB2312"/>
          <w:sz w:val="31"/>
          <w:szCs w:val="31"/>
        </w:rPr>
        <w:t>2.7月上旬，律师志愿团根据服务情况，形成报告书，报送律师协会。</w:t>
      </w:r>
    </w:p>
    <w:p>
      <w:pPr>
        <w:pStyle w:val="2"/>
        <w:widowControl/>
        <w:spacing w:line="555" w:lineRule="atLeast"/>
        <w:ind w:left="0" w:firstLine="645"/>
      </w:pPr>
      <w:r>
        <w:rPr>
          <w:rFonts w:hint="default" w:ascii="仿宋_GB2312" w:eastAsia="仿宋_GB2312" w:cs="仿宋_GB2312"/>
          <w:sz w:val="31"/>
          <w:szCs w:val="31"/>
        </w:rPr>
        <w:t>鉴于此次疫情的结束时间目前尚未明确，且部分企业所涉法律问题的产生可能存在一定滞后，故此次公益法律服务的服务到期时间暂定为6月30日，并根据疫情发展等情况进行合理调整。</w:t>
      </w:r>
    </w:p>
    <w:p>
      <w:pPr>
        <w:pStyle w:val="2"/>
        <w:widowControl/>
        <w:spacing w:line="555" w:lineRule="atLeast"/>
        <w:ind w:left="0" w:firstLine="630"/>
      </w:pPr>
      <w:r>
        <w:rPr>
          <w:rFonts w:hint="eastAsia" w:ascii="黑体" w:hAnsi="宋体" w:eastAsia="黑体" w:cs="黑体"/>
          <w:sz w:val="31"/>
          <w:szCs w:val="31"/>
        </w:rPr>
        <w:t>五、活动要求</w:t>
      </w:r>
    </w:p>
    <w:p>
      <w:pPr>
        <w:pStyle w:val="2"/>
        <w:widowControl/>
        <w:spacing w:line="555" w:lineRule="atLeast"/>
        <w:ind w:left="0" w:firstLine="630"/>
      </w:pPr>
      <w:r>
        <w:rPr>
          <w:rFonts w:hint="default" w:ascii="楷体_GB2312" w:eastAsia="楷体_GB2312" w:cs="楷体_GB2312"/>
          <w:sz w:val="31"/>
          <w:szCs w:val="31"/>
        </w:rPr>
        <w:t>（一）加强组织领导。</w:t>
      </w:r>
      <w:r>
        <w:rPr>
          <w:rFonts w:hint="eastAsia" w:ascii="楷体_GB2312" w:eastAsia="楷体_GB2312" w:cs="楷体_GB2312"/>
          <w:sz w:val="31"/>
          <w:szCs w:val="31"/>
          <w:lang w:eastAsia="zh-CN"/>
        </w:rPr>
        <w:t>律协</w:t>
      </w:r>
      <w:r>
        <w:rPr>
          <w:rFonts w:hint="default" w:ascii="仿宋_GB2312" w:eastAsia="仿宋_GB2312" w:cs="仿宋_GB2312"/>
          <w:sz w:val="31"/>
          <w:szCs w:val="31"/>
        </w:rPr>
        <w:t>、工商联要加强信息沟通、业务交流和力量统筹，及时研究解决工作中遇到的问题。律师志愿团要及时、有效的联系服务企业，坚持从实际出发，充分考虑不同行业、不同规模的企业特点和发展水平，选择符合实际的组织形式、工作模式和服务方式，积极稳妥推进工作。</w:t>
      </w:r>
    </w:p>
    <w:p>
      <w:pPr>
        <w:pStyle w:val="2"/>
        <w:widowControl/>
        <w:spacing w:line="555" w:lineRule="atLeast"/>
        <w:ind w:left="0" w:firstLine="630"/>
      </w:pPr>
      <w:r>
        <w:rPr>
          <w:rFonts w:hint="default" w:ascii="楷体_GB2312" w:eastAsia="楷体_GB2312" w:cs="楷体_GB2312"/>
          <w:sz w:val="31"/>
          <w:szCs w:val="31"/>
        </w:rPr>
        <w:t>（二）规范服务流程。</w:t>
      </w:r>
      <w:r>
        <w:rPr>
          <w:rFonts w:hint="default" w:ascii="仿宋_GB2312" w:eastAsia="仿宋_GB2312" w:cs="仿宋_GB2312"/>
          <w:sz w:val="31"/>
          <w:szCs w:val="31"/>
        </w:rPr>
        <w:t>要结合公益法律服务的目标和企业实际需求，明确服务项目、流程和标准，为活动开展提供依据。服务期间，志愿律师应当根据需要与企业签订服务协议，如涉及企业机密，还需订立保密协议。通过协议，明确双方权利义务，按照约定提供服务。律师协会要加强工作指导和督促，确保参与服务的律师勤勉敬业、尽职尽责，确保活动取得实效。</w:t>
      </w:r>
    </w:p>
    <w:p>
      <w:pPr>
        <w:pStyle w:val="2"/>
        <w:widowControl/>
        <w:spacing w:line="555" w:lineRule="atLeast"/>
        <w:ind w:left="0" w:firstLine="630"/>
      </w:pPr>
      <w:r>
        <w:rPr>
          <w:rFonts w:hint="default" w:ascii="楷体_GB2312" w:eastAsia="楷体_GB2312" w:cs="楷体_GB2312"/>
          <w:sz w:val="31"/>
          <w:szCs w:val="31"/>
        </w:rPr>
        <w:t>（三）提升服务水平。</w:t>
      </w:r>
      <w:r>
        <w:rPr>
          <w:rFonts w:hint="default" w:ascii="仿宋_GB2312" w:eastAsia="仿宋_GB2312" w:cs="仿宋_GB2312"/>
          <w:sz w:val="31"/>
          <w:szCs w:val="31"/>
        </w:rPr>
        <w:t>及时发现、总结法律服务过程中的有益经验，通过研讨提炼，形成可复制、可借鉴的工作模式，积极推广运用，带动提升整体工作水平。</w:t>
      </w:r>
    </w:p>
    <w:p>
      <w:pPr>
        <w:pStyle w:val="2"/>
        <w:widowControl/>
        <w:spacing w:line="555" w:lineRule="atLeast"/>
        <w:ind w:left="0" w:firstLine="630"/>
      </w:pPr>
      <w:r>
        <w:rPr>
          <w:rFonts w:hint="default" w:ascii="楷体_GB2312" w:eastAsia="楷体_GB2312" w:cs="楷体_GB2312"/>
          <w:sz w:val="31"/>
          <w:szCs w:val="31"/>
        </w:rPr>
        <w:t>（四）强化工作保障。</w:t>
      </w:r>
      <w:r>
        <w:rPr>
          <w:rFonts w:hint="default" w:ascii="仿宋_GB2312" w:eastAsia="仿宋_GB2312" w:cs="仿宋_GB2312"/>
          <w:sz w:val="31"/>
          <w:szCs w:val="31"/>
        </w:rPr>
        <w:t>通过综合运用传统媒体、新兴媒体和自媒体，加大对本次公益活动的宣传力度。及时宣传活动进展情况、主要成效和典型案例，营造良好舆论氛围，扩大活动影响力，为疫情防控期间社会经济正常运作做出律师行业的贡献。对在本次活动中表现突出的律师，各相关单位可以在评先评优、表彰激励等方面给予支持，增强律师参与服务、履行社会责任的使命感、荣誉感、成就感。</w:t>
      </w:r>
    </w:p>
    <w:p>
      <w:pPr>
        <w:pStyle w:val="2"/>
        <w:widowControl/>
        <w:ind w:left="0" w:firstLine="420"/>
      </w:pPr>
    </w:p>
    <w:p/>
    <w:p>
      <w:pPr>
        <w:spacing w:line="500" w:lineRule="exact"/>
        <w:ind w:right="-92" w:rightChars="-44"/>
        <w:rPr>
          <w:rFonts w:hint="eastAsia" w:ascii="仿宋" w:hAnsi="仿宋" w:eastAsia="仿宋" w:cs="仿宋"/>
          <w:sz w:val="32"/>
          <w:szCs w:val="32"/>
          <w:lang w:val="en-US" w:eastAsia="zh-CN"/>
        </w:rPr>
        <w:sectPr>
          <w:pgSz w:w="11906" w:h="16838"/>
          <w:pgMar w:top="1440" w:right="1800" w:bottom="1440" w:left="1800" w:header="851" w:footer="992" w:gutter="0"/>
          <w:cols w:space="720" w:num="1"/>
          <w:docGrid w:type="lines" w:linePitch="312" w:charSpace="0"/>
        </w:sectPr>
      </w:pPr>
    </w:p>
    <w:p>
      <w:pPr>
        <w:jc w:val="center"/>
        <w:rPr>
          <w:rFonts w:hint="eastAsia" w:ascii="仿宋" w:hAnsi="仿宋" w:eastAsia="仿宋" w:cs="仿宋"/>
          <w:b/>
          <w:bCs/>
          <w:sz w:val="28"/>
          <w:szCs w:val="28"/>
        </w:rPr>
      </w:pPr>
      <w:r>
        <w:rPr>
          <w:rFonts w:hint="eastAsia" w:ascii="仿宋" w:hAnsi="仿宋" w:eastAsia="仿宋" w:cs="仿宋"/>
          <w:b/>
          <w:bCs/>
          <w:sz w:val="36"/>
          <w:szCs w:val="36"/>
          <w:lang w:val="en-US" w:eastAsia="zh-CN"/>
        </w:rPr>
        <w:t>“加油2020”公益法律服务</w:t>
      </w:r>
      <w:r>
        <w:rPr>
          <w:rFonts w:hint="default" w:ascii="仿宋" w:hAnsi="仿宋" w:eastAsia="仿宋" w:cs="仿宋"/>
          <w:b/>
          <w:bCs/>
          <w:sz w:val="36"/>
          <w:szCs w:val="36"/>
          <w:lang w:val="en-US" w:eastAsia="zh-CN"/>
        </w:rPr>
        <w:t>志愿律师</w:t>
      </w:r>
      <w:r>
        <w:rPr>
          <w:rFonts w:hint="eastAsia" w:ascii="仿宋" w:hAnsi="仿宋" w:eastAsia="仿宋" w:cs="仿宋"/>
          <w:b/>
          <w:bCs/>
          <w:sz w:val="36"/>
          <w:szCs w:val="36"/>
          <w:lang w:val="en-US" w:eastAsia="zh-CN"/>
        </w:rPr>
        <w:t>报名表</w:t>
      </w:r>
    </w:p>
    <w:p>
      <w:pPr>
        <w:jc w:val="center"/>
        <w:rPr>
          <w:rFonts w:hint="eastAsia" w:ascii="仿宋" w:hAnsi="仿宋" w:eastAsia="仿宋" w:cs="仿宋"/>
          <w:b/>
          <w:bCs/>
          <w:sz w:val="28"/>
          <w:szCs w:val="28"/>
        </w:rPr>
      </w:pP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填表日期：</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 xml:space="preserve">月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日</w:t>
      </w:r>
    </w:p>
    <w:tbl>
      <w:tblPr>
        <w:tblStyle w:val="3"/>
        <w:tblW w:w="0" w:type="auto"/>
        <w:jc w:val="center"/>
        <w:tblLayout w:type="fixed"/>
        <w:tblCellMar>
          <w:top w:w="0" w:type="dxa"/>
          <w:left w:w="0" w:type="dxa"/>
          <w:bottom w:w="0" w:type="dxa"/>
          <w:right w:w="0" w:type="dxa"/>
        </w:tblCellMar>
      </w:tblPr>
      <w:tblGrid>
        <w:gridCol w:w="1259"/>
        <w:gridCol w:w="1260"/>
        <w:gridCol w:w="1080"/>
        <w:gridCol w:w="1260"/>
        <w:gridCol w:w="1388"/>
        <w:gridCol w:w="1873"/>
        <w:gridCol w:w="1521"/>
      </w:tblGrid>
      <w:tr>
        <w:tblPrEx>
          <w:tblCellMar>
            <w:top w:w="0" w:type="dxa"/>
            <w:left w:w="0" w:type="dxa"/>
            <w:bottom w:w="0" w:type="dxa"/>
            <w:right w:w="0" w:type="dxa"/>
          </w:tblCellMar>
        </w:tblPrEx>
        <w:trPr>
          <w:cantSplit/>
          <w:trHeight w:val="633" w:hRule="exact"/>
          <w:jc w:val="center"/>
        </w:trPr>
        <w:tc>
          <w:tcPr>
            <w:tcW w:w="1259"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姓　名</w:t>
            </w:r>
          </w:p>
        </w:tc>
        <w:tc>
          <w:tcPr>
            <w:tcW w:w="1260" w:type="dxa"/>
            <w:tcBorders>
              <w:top w:val="single" w:color="auto" w:sz="4" w:space="0"/>
              <w:left w:val="nil"/>
              <w:bottom w:val="single" w:color="auto" w:sz="4" w:space="0"/>
              <w:right w:val="single" w:color="auto" w:sz="4" w:space="0"/>
            </w:tcBorders>
            <w:noWrap w:val="0"/>
            <w:tcMar>
              <w:top w:w="13" w:type="dxa"/>
              <w:left w:w="13" w:type="dxa"/>
              <w:bottom w:w="0" w:type="dxa"/>
              <w:right w:w="13" w:type="dxa"/>
            </w:tcMar>
            <w:vAlign w:val="center"/>
          </w:tcPr>
          <w:p>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 xml:space="preserve"> </w:t>
            </w:r>
          </w:p>
        </w:tc>
        <w:tc>
          <w:tcPr>
            <w:tcW w:w="1080" w:type="dxa"/>
            <w:tcBorders>
              <w:top w:val="single" w:color="auto" w:sz="4" w:space="0"/>
              <w:left w:val="nil"/>
              <w:bottom w:val="single" w:color="auto" w:sz="4" w:space="0"/>
              <w:right w:val="single" w:color="auto" w:sz="4" w:space="0"/>
            </w:tcBorders>
            <w:noWrap w:val="0"/>
            <w:tcMar>
              <w:top w:w="13" w:type="dxa"/>
              <w:left w:w="13" w:type="dxa"/>
              <w:bottom w:w="0" w:type="dxa"/>
              <w:right w:w="13" w:type="dxa"/>
            </w:tcMar>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性　别</w:t>
            </w:r>
          </w:p>
        </w:tc>
        <w:tc>
          <w:tcPr>
            <w:tcW w:w="1260" w:type="dxa"/>
            <w:tcBorders>
              <w:top w:val="single" w:color="auto" w:sz="4" w:space="0"/>
              <w:left w:val="nil"/>
              <w:bottom w:val="single" w:color="auto" w:sz="4" w:space="0"/>
              <w:right w:val="single" w:color="auto" w:sz="4" w:space="0"/>
            </w:tcBorders>
            <w:noWrap w:val="0"/>
            <w:tcMar>
              <w:top w:w="13" w:type="dxa"/>
              <w:left w:w="13" w:type="dxa"/>
              <w:bottom w:w="0" w:type="dxa"/>
              <w:right w:w="13" w:type="dxa"/>
            </w:tcMar>
            <w:vAlign w:val="center"/>
          </w:tcPr>
          <w:p>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 xml:space="preserve"> </w:t>
            </w:r>
          </w:p>
        </w:tc>
        <w:tc>
          <w:tcPr>
            <w:tcW w:w="1388" w:type="dxa"/>
            <w:tcBorders>
              <w:top w:val="single" w:color="auto" w:sz="4" w:space="0"/>
              <w:left w:val="nil"/>
              <w:bottom w:val="single" w:color="auto" w:sz="4" w:space="0"/>
              <w:right w:val="single" w:color="auto" w:sz="4" w:space="0"/>
            </w:tcBorders>
            <w:noWrap w:val="0"/>
            <w:tcMar>
              <w:top w:w="13" w:type="dxa"/>
              <w:left w:w="13" w:type="dxa"/>
              <w:bottom w:w="0" w:type="dxa"/>
              <w:right w:w="13" w:type="dxa"/>
            </w:tcMar>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出生年月</w:t>
            </w:r>
          </w:p>
        </w:tc>
        <w:tc>
          <w:tcPr>
            <w:tcW w:w="1873" w:type="dxa"/>
            <w:tcBorders>
              <w:top w:val="single" w:color="auto" w:sz="4" w:space="0"/>
              <w:left w:val="nil"/>
              <w:bottom w:val="single" w:color="auto" w:sz="4" w:space="0"/>
              <w:right w:val="single" w:color="auto" w:sz="4" w:space="0"/>
            </w:tcBorders>
            <w:noWrap w:val="0"/>
            <w:tcMar>
              <w:top w:w="13" w:type="dxa"/>
              <w:left w:w="13" w:type="dxa"/>
              <w:bottom w:w="0" w:type="dxa"/>
              <w:right w:w="13" w:type="dxa"/>
            </w:tcMar>
            <w:vAlign w:val="center"/>
          </w:tcPr>
          <w:p>
            <w:pPr>
              <w:jc w:val="center"/>
              <w:rPr>
                <w:rFonts w:hint="eastAsia" w:ascii="仿宋" w:hAnsi="仿宋" w:eastAsia="仿宋" w:cs="仿宋"/>
                <w:b/>
                <w:bCs/>
                <w:sz w:val="28"/>
                <w:szCs w:val="28"/>
                <w:lang w:eastAsia="zh-CN"/>
              </w:rPr>
            </w:pPr>
            <w:r>
              <w:rPr>
                <w:rFonts w:hint="eastAsia" w:ascii="仿宋" w:hAnsi="仿宋" w:eastAsia="仿宋" w:cs="仿宋"/>
                <w:sz w:val="28"/>
                <w:szCs w:val="28"/>
                <w:lang w:val="en-US" w:eastAsia="zh-CN"/>
              </w:rPr>
              <w:t xml:space="preserve"> </w:t>
            </w:r>
          </w:p>
        </w:tc>
        <w:tc>
          <w:tcPr>
            <w:tcW w:w="1521" w:type="dxa"/>
            <w:vMerge w:val="restart"/>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照     片</w:t>
            </w:r>
          </w:p>
          <w:p>
            <w:pPr>
              <w:jc w:val="center"/>
              <w:rPr>
                <w:rFonts w:hint="eastAsia" w:ascii="仿宋" w:hAnsi="仿宋" w:eastAsia="仿宋" w:cs="仿宋"/>
                <w:b/>
                <w:bCs/>
                <w:sz w:val="28"/>
                <w:szCs w:val="28"/>
              </w:rPr>
            </w:pPr>
            <w:r>
              <w:rPr>
                <w:rFonts w:hint="eastAsia" w:ascii="仿宋" w:hAnsi="仿宋" w:eastAsia="仿宋" w:cs="仿宋"/>
                <w:b/>
                <w:bCs/>
                <w:sz w:val="28"/>
                <w:szCs w:val="28"/>
              </w:rPr>
              <w:t>（蓝色免冠着律师袍）</w:t>
            </w:r>
          </w:p>
        </w:tc>
      </w:tr>
      <w:tr>
        <w:tblPrEx>
          <w:tblCellMar>
            <w:top w:w="0" w:type="dxa"/>
            <w:left w:w="0" w:type="dxa"/>
            <w:bottom w:w="0" w:type="dxa"/>
            <w:right w:w="0" w:type="dxa"/>
          </w:tblCellMar>
        </w:tblPrEx>
        <w:trPr>
          <w:cantSplit/>
          <w:trHeight w:val="782" w:hRule="exact"/>
          <w:jc w:val="center"/>
        </w:trPr>
        <w:tc>
          <w:tcPr>
            <w:tcW w:w="1259"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民　族</w:t>
            </w:r>
          </w:p>
        </w:tc>
        <w:tc>
          <w:tcPr>
            <w:tcW w:w="1260" w:type="dxa"/>
            <w:tcBorders>
              <w:top w:val="nil"/>
              <w:left w:val="nil"/>
              <w:bottom w:val="single" w:color="auto" w:sz="4" w:space="0"/>
              <w:right w:val="single" w:color="auto" w:sz="4" w:space="0"/>
            </w:tcBorders>
            <w:noWrap w:val="0"/>
            <w:tcMar>
              <w:top w:w="13" w:type="dxa"/>
              <w:left w:w="13" w:type="dxa"/>
              <w:bottom w:w="0" w:type="dxa"/>
              <w:right w:w="13" w:type="dxa"/>
            </w:tcMar>
            <w:vAlign w:val="center"/>
          </w:tcPr>
          <w:p>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 xml:space="preserve"> </w:t>
            </w:r>
          </w:p>
        </w:tc>
        <w:tc>
          <w:tcPr>
            <w:tcW w:w="1080" w:type="dxa"/>
            <w:tcBorders>
              <w:top w:val="nil"/>
              <w:left w:val="nil"/>
              <w:bottom w:val="single" w:color="auto" w:sz="4" w:space="0"/>
              <w:right w:val="single" w:color="auto" w:sz="4" w:space="0"/>
            </w:tcBorders>
            <w:noWrap w:val="0"/>
            <w:tcMar>
              <w:top w:w="13" w:type="dxa"/>
              <w:left w:w="13" w:type="dxa"/>
              <w:bottom w:w="0" w:type="dxa"/>
              <w:right w:w="13" w:type="dxa"/>
            </w:tcMar>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籍　贯</w:t>
            </w:r>
          </w:p>
        </w:tc>
        <w:tc>
          <w:tcPr>
            <w:tcW w:w="1260" w:type="dxa"/>
            <w:tcBorders>
              <w:top w:val="nil"/>
              <w:left w:val="nil"/>
              <w:bottom w:val="single" w:color="auto" w:sz="4" w:space="0"/>
              <w:right w:val="single" w:color="auto" w:sz="4" w:space="0"/>
            </w:tcBorders>
            <w:noWrap w:val="0"/>
            <w:tcMar>
              <w:top w:w="13" w:type="dxa"/>
              <w:left w:w="13" w:type="dxa"/>
              <w:bottom w:w="0" w:type="dxa"/>
              <w:right w:w="13" w:type="dxa"/>
            </w:tcMar>
            <w:vAlign w:val="center"/>
          </w:tcPr>
          <w:p>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 xml:space="preserve"> </w:t>
            </w:r>
          </w:p>
        </w:tc>
        <w:tc>
          <w:tcPr>
            <w:tcW w:w="1388" w:type="dxa"/>
            <w:tcBorders>
              <w:top w:val="nil"/>
              <w:left w:val="nil"/>
              <w:bottom w:val="single" w:color="auto" w:sz="4" w:space="0"/>
              <w:right w:val="single" w:color="auto" w:sz="4" w:space="0"/>
            </w:tcBorders>
            <w:noWrap w:val="0"/>
            <w:tcMar>
              <w:top w:w="13" w:type="dxa"/>
              <w:left w:w="13" w:type="dxa"/>
              <w:bottom w:w="0" w:type="dxa"/>
              <w:right w:w="13" w:type="dxa"/>
            </w:tcMar>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政治面貌</w:t>
            </w:r>
          </w:p>
        </w:tc>
        <w:tc>
          <w:tcPr>
            <w:tcW w:w="1873" w:type="dxa"/>
            <w:tcBorders>
              <w:top w:val="nil"/>
              <w:left w:val="nil"/>
              <w:bottom w:val="single" w:color="auto" w:sz="4" w:space="0"/>
              <w:right w:val="single" w:color="auto" w:sz="4" w:space="0"/>
            </w:tcBorders>
            <w:noWrap w:val="0"/>
            <w:tcMar>
              <w:top w:w="13" w:type="dxa"/>
              <w:left w:w="13" w:type="dxa"/>
              <w:bottom w:w="0" w:type="dxa"/>
              <w:right w:w="13" w:type="dxa"/>
            </w:tcMar>
            <w:vAlign w:val="center"/>
          </w:tcPr>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p>
        </w:tc>
        <w:tc>
          <w:tcPr>
            <w:tcW w:w="152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bCs/>
                <w:sz w:val="28"/>
                <w:szCs w:val="28"/>
              </w:rPr>
            </w:pPr>
          </w:p>
        </w:tc>
      </w:tr>
      <w:tr>
        <w:tblPrEx>
          <w:tblCellMar>
            <w:top w:w="0" w:type="dxa"/>
            <w:left w:w="0" w:type="dxa"/>
            <w:bottom w:w="0" w:type="dxa"/>
            <w:right w:w="0" w:type="dxa"/>
          </w:tblCellMar>
        </w:tblPrEx>
        <w:trPr>
          <w:cantSplit/>
          <w:trHeight w:val="643" w:hRule="exact"/>
          <w:jc w:val="center"/>
        </w:trPr>
        <w:tc>
          <w:tcPr>
            <w:tcW w:w="1259"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执业年限</w:t>
            </w:r>
          </w:p>
        </w:tc>
        <w:tc>
          <w:tcPr>
            <w:tcW w:w="2340" w:type="dxa"/>
            <w:gridSpan w:val="2"/>
            <w:tcBorders>
              <w:top w:val="nil"/>
              <w:left w:val="nil"/>
              <w:bottom w:val="single" w:color="auto" w:sz="4" w:space="0"/>
              <w:right w:val="single" w:color="auto" w:sz="4" w:space="0"/>
            </w:tcBorders>
            <w:noWrap w:val="0"/>
            <w:tcMar>
              <w:top w:w="13" w:type="dxa"/>
              <w:left w:w="13" w:type="dxa"/>
              <w:bottom w:w="0" w:type="dxa"/>
              <w:right w:w="13" w:type="dxa"/>
            </w:tcMar>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p>
        </w:tc>
        <w:tc>
          <w:tcPr>
            <w:tcW w:w="126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b/>
                <w:bCs/>
                <w:sz w:val="28"/>
                <w:szCs w:val="28"/>
                <w:lang w:eastAsia="zh-CN"/>
              </w:rPr>
            </w:pPr>
            <w:r>
              <w:rPr>
                <w:rFonts w:hint="eastAsia" w:ascii="仿宋" w:hAnsi="仿宋" w:eastAsia="仿宋" w:cs="仿宋"/>
                <w:b/>
                <w:bCs/>
                <w:sz w:val="28"/>
                <w:szCs w:val="28"/>
              </w:rPr>
              <w:t>执业类别</w:t>
            </w:r>
            <w:r>
              <w:rPr>
                <w:rFonts w:hint="eastAsia" w:ascii="仿宋" w:hAnsi="仿宋" w:eastAsia="仿宋" w:cs="仿宋"/>
                <w:b/>
                <w:bCs/>
                <w:sz w:val="28"/>
                <w:szCs w:val="28"/>
                <w:lang w:val="en-US" w:eastAsia="zh-CN"/>
              </w:rPr>
              <w:t xml:space="preserve"> </w:t>
            </w:r>
          </w:p>
        </w:tc>
        <w:tc>
          <w:tcPr>
            <w:tcW w:w="3261" w:type="dxa"/>
            <w:gridSpan w:val="2"/>
            <w:tcBorders>
              <w:top w:val="nil"/>
              <w:left w:val="nil"/>
              <w:bottom w:val="single" w:color="auto" w:sz="4" w:space="0"/>
              <w:right w:val="single" w:color="auto" w:sz="4" w:space="0"/>
            </w:tcBorders>
            <w:noWrap w:val="0"/>
            <w:vAlign w:val="center"/>
          </w:tcPr>
          <w:p>
            <w:pPr>
              <w:jc w:val="center"/>
              <w:rPr>
                <w:rFonts w:hint="eastAsia" w:ascii="仿宋" w:hAnsi="仿宋" w:eastAsia="仿宋" w:cs="仿宋"/>
                <w:b/>
                <w:bCs/>
                <w:sz w:val="28"/>
                <w:szCs w:val="28"/>
              </w:rPr>
            </w:pPr>
          </w:p>
        </w:tc>
        <w:tc>
          <w:tcPr>
            <w:tcW w:w="152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bCs/>
                <w:sz w:val="28"/>
                <w:szCs w:val="28"/>
              </w:rPr>
            </w:pPr>
          </w:p>
        </w:tc>
      </w:tr>
      <w:tr>
        <w:tblPrEx>
          <w:tblCellMar>
            <w:top w:w="0" w:type="dxa"/>
            <w:left w:w="0" w:type="dxa"/>
            <w:bottom w:w="0" w:type="dxa"/>
            <w:right w:w="0" w:type="dxa"/>
          </w:tblCellMar>
        </w:tblPrEx>
        <w:trPr>
          <w:trHeight w:val="619" w:hRule="exact"/>
          <w:jc w:val="center"/>
        </w:trPr>
        <w:tc>
          <w:tcPr>
            <w:tcW w:w="1259"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身份证号</w:t>
            </w:r>
          </w:p>
        </w:tc>
        <w:tc>
          <w:tcPr>
            <w:tcW w:w="3600" w:type="dxa"/>
            <w:gridSpan w:val="3"/>
            <w:tcBorders>
              <w:top w:val="nil"/>
              <w:left w:val="nil"/>
              <w:bottom w:val="single" w:color="auto" w:sz="4" w:space="0"/>
              <w:right w:val="single" w:color="auto" w:sz="4" w:space="0"/>
            </w:tcBorders>
            <w:noWrap w:val="0"/>
            <w:tcMar>
              <w:top w:w="13" w:type="dxa"/>
              <w:left w:w="13" w:type="dxa"/>
              <w:bottom w:w="0" w:type="dxa"/>
              <w:right w:w="13" w:type="dxa"/>
            </w:tcMar>
            <w:vAlign w:val="center"/>
          </w:tcPr>
          <w:p>
            <w:pPr>
              <w:jc w:val="center"/>
              <w:rPr>
                <w:rFonts w:hint="eastAsia" w:ascii="仿宋" w:hAnsi="仿宋" w:eastAsia="仿宋" w:cs="仿宋"/>
                <w:b/>
                <w:bCs/>
                <w:sz w:val="28"/>
                <w:szCs w:val="28"/>
                <w:lang w:eastAsia="zh-CN"/>
              </w:rPr>
            </w:pPr>
            <w:r>
              <w:rPr>
                <w:rFonts w:hint="eastAsia" w:ascii="仿宋" w:hAnsi="仿宋" w:eastAsia="仿宋" w:cs="仿宋"/>
                <w:b/>
                <w:sz w:val="28"/>
                <w:szCs w:val="28"/>
                <w:lang w:val="en-US" w:eastAsia="zh-CN"/>
              </w:rPr>
              <w:t xml:space="preserve"> </w:t>
            </w:r>
          </w:p>
        </w:tc>
        <w:tc>
          <w:tcPr>
            <w:tcW w:w="1388" w:type="dxa"/>
            <w:tcBorders>
              <w:top w:val="nil"/>
              <w:left w:val="nil"/>
              <w:bottom w:val="single" w:color="auto" w:sz="4" w:space="0"/>
              <w:right w:val="single" w:color="auto" w:sz="4" w:space="0"/>
            </w:tcBorders>
            <w:noWrap w:val="0"/>
            <w:tcMar>
              <w:top w:w="13" w:type="dxa"/>
              <w:left w:w="13" w:type="dxa"/>
              <w:bottom w:w="0" w:type="dxa"/>
              <w:right w:w="13" w:type="dxa"/>
            </w:tcMar>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执业证号</w:t>
            </w:r>
          </w:p>
        </w:tc>
        <w:tc>
          <w:tcPr>
            <w:tcW w:w="3394" w:type="dxa"/>
            <w:gridSpan w:val="2"/>
            <w:tcBorders>
              <w:top w:val="nil"/>
              <w:left w:val="nil"/>
              <w:bottom w:val="single" w:color="auto" w:sz="4" w:space="0"/>
              <w:right w:val="single" w:color="auto" w:sz="4" w:space="0"/>
            </w:tcBorders>
            <w:noWrap w:val="0"/>
            <w:vAlign w:val="center"/>
          </w:tcPr>
          <w:p>
            <w:pPr>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 xml:space="preserve"> </w:t>
            </w:r>
          </w:p>
        </w:tc>
      </w:tr>
      <w:tr>
        <w:tblPrEx>
          <w:tblCellMar>
            <w:top w:w="0" w:type="dxa"/>
            <w:left w:w="0" w:type="dxa"/>
            <w:bottom w:w="0" w:type="dxa"/>
            <w:right w:w="0" w:type="dxa"/>
          </w:tblCellMar>
        </w:tblPrEx>
        <w:trPr>
          <w:trHeight w:val="547" w:hRule="exact"/>
          <w:jc w:val="center"/>
        </w:trPr>
        <w:tc>
          <w:tcPr>
            <w:tcW w:w="1259"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rPr>
              <w:t>联系</w:t>
            </w:r>
            <w:r>
              <w:rPr>
                <w:rFonts w:hint="eastAsia" w:ascii="仿宋" w:hAnsi="仿宋" w:eastAsia="仿宋" w:cs="仿宋"/>
                <w:b/>
                <w:bCs/>
                <w:sz w:val="28"/>
                <w:szCs w:val="28"/>
                <w:lang w:eastAsia="zh-CN"/>
              </w:rPr>
              <w:t>方式</w:t>
            </w:r>
            <w:r>
              <w:rPr>
                <w:rFonts w:hint="eastAsia" w:ascii="仿宋" w:hAnsi="仿宋" w:eastAsia="仿宋" w:cs="仿宋"/>
                <w:b/>
                <w:bCs/>
                <w:sz w:val="28"/>
                <w:szCs w:val="28"/>
                <w:lang w:val="en-US" w:eastAsia="zh-CN"/>
              </w:rPr>
              <w:t>fafangsj</w:t>
            </w:r>
          </w:p>
        </w:tc>
        <w:tc>
          <w:tcPr>
            <w:tcW w:w="3600" w:type="dxa"/>
            <w:gridSpan w:val="3"/>
            <w:tcBorders>
              <w:top w:val="single" w:color="auto" w:sz="4" w:space="0"/>
              <w:left w:val="nil"/>
              <w:bottom w:val="single" w:color="auto" w:sz="4" w:space="0"/>
              <w:right w:val="single" w:color="auto" w:sz="4" w:space="0"/>
            </w:tcBorders>
            <w:noWrap w:val="0"/>
            <w:tcMar>
              <w:top w:w="13" w:type="dxa"/>
              <w:left w:w="13" w:type="dxa"/>
              <w:bottom w:w="0" w:type="dxa"/>
              <w:right w:w="13" w:type="dxa"/>
            </w:tcMar>
            <w:vAlign w:val="center"/>
          </w:tcPr>
          <w:p>
            <w:pPr>
              <w:rPr>
                <w:rFonts w:hint="eastAsia" w:ascii="仿宋" w:hAnsi="仿宋" w:eastAsia="仿宋" w:cs="仿宋"/>
                <w:b/>
                <w:bCs/>
                <w:sz w:val="28"/>
                <w:szCs w:val="28"/>
              </w:rPr>
            </w:pPr>
          </w:p>
        </w:tc>
        <w:tc>
          <w:tcPr>
            <w:tcW w:w="138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邮箱</w:t>
            </w:r>
          </w:p>
        </w:tc>
        <w:tc>
          <w:tcPr>
            <w:tcW w:w="3394"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bCs/>
                <w:sz w:val="28"/>
                <w:szCs w:val="28"/>
              </w:rPr>
            </w:pPr>
          </w:p>
        </w:tc>
      </w:tr>
      <w:tr>
        <w:tblPrEx>
          <w:tblCellMar>
            <w:top w:w="0" w:type="dxa"/>
            <w:left w:w="0" w:type="dxa"/>
            <w:bottom w:w="0" w:type="dxa"/>
            <w:right w:w="0" w:type="dxa"/>
          </w:tblCellMar>
        </w:tblPrEx>
        <w:trPr>
          <w:trHeight w:val="652" w:hRule="exact"/>
          <w:jc w:val="center"/>
        </w:trPr>
        <w:tc>
          <w:tcPr>
            <w:tcW w:w="1259"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执业机构</w:t>
            </w:r>
          </w:p>
        </w:tc>
        <w:tc>
          <w:tcPr>
            <w:tcW w:w="3600" w:type="dxa"/>
            <w:gridSpan w:val="3"/>
            <w:tcBorders>
              <w:top w:val="single" w:color="auto" w:sz="4" w:space="0"/>
              <w:left w:val="nil"/>
              <w:bottom w:val="single" w:color="auto" w:sz="4" w:space="0"/>
              <w:right w:val="single" w:color="auto" w:sz="4" w:space="0"/>
            </w:tcBorders>
            <w:noWrap w:val="0"/>
            <w:tcMar>
              <w:top w:w="13" w:type="dxa"/>
              <w:left w:w="13" w:type="dxa"/>
              <w:bottom w:w="0" w:type="dxa"/>
              <w:right w:w="13" w:type="dxa"/>
            </w:tcMar>
            <w:vAlign w:val="center"/>
          </w:tcPr>
          <w:p>
            <w:pPr>
              <w:jc w:val="center"/>
              <w:rPr>
                <w:rFonts w:hint="eastAsia" w:ascii="仿宋" w:hAnsi="仿宋" w:eastAsia="仿宋" w:cs="仿宋"/>
                <w:b/>
                <w:bCs/>
                <w:sz w:val="28"/>
                <w:szCs w:val="28"/>
              </w:rPr>
            </w:pPr>
          </w:p>
        </w:tc>
        <w:tc>
          <w:tcPr>
            <w:tcW w:w="1388"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律所地址</w:t>
            </w:r>
          </w:p>
        </w:tc>
        <w:tc>
          <w:tcPr>
            <w:tcW w:w="3394" w:type="dxa"/>
            <w:gridSpan w:val="2"/>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jc w:val="center"/>
              <w:rPr>
                <w:rFonts w:hint="eastAsia" w:ascii="仿宋" w:hAnsi="仿宋" w:eastAsia="仿宋" w:cs="仿宋"/>
                <w:b/>
                <w:sz w:val="28"/>
                <w:szCs w:val="28"/>
              </w:rPr>
            </w:pPr>
          </w:p>
        </w:tc>
      </w:tr>
      <w:tr>
        <w:tblPrEx>
          <w:tblCellMar>
            <w:top w:w="0" w:type="dxa"/>
            <w:left w:w="0" w:type="dxa"/>
            <w:bottom w:w="0" w:type="dxa"/>
            <w:right w:w="0" w:type="dxa"/>
          </w:tblCellMar>
        </w:tblPrEx>
        <w:trPr>
          <w:trHeight w:val="2679" w:hRule="atLeast"/>
          <w:jc w:val="center"/>
        </w:trPr>
        <w:tc>
          <w:tcPr>
            <w:tcW w:w="1259" w:type="dxa"/>
            <w:tcBorders>
              <w:top w:val="single" w:color="auto" w:sz="4" w:space="0"/>
              <w:left w:val="single" w:color="auto" w:sz="4" w:space="0"/>
              <w:bottom w:val="single" w:color="auto" w:sz="4" w:space="0"/>
              <w:right w:val="single" w:color="auto" w:sz="4" w:space="0"/>
            </w:tcBorders>
            <w:noWrap w:val="0"/>
            <w:tcMar>
              <w:top w:w="13" w:type="dxa"/>
              <w:left w:w="13" w:type="dxa"/>
              <w:bottom w:w="0" w:type="dxa"/>
              <w:right w:w="13" w:type="dxa"/>
            </w:tcMar>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业</w:t>
            </w:r>
          </w:p>
          <w:p>
            <w:pPr>
              <w:jc w:val="center"/>
              <w:rPr>
                <w:rFonts w:hint="eastAsia" w:ascii="仿宋" w:hAnsi="仿宋" w:eastAsia="仿宋" w:cs="仿宋"/>
                <w:b/>
                <w:bCs/>
                <w:sz w:val="28"/>
                <w:szCs w:val="28"/>
              </w:rPr>
            </w:pPr>
            <w:r>
              <w:rPr>
                <w:rFonts w:hint="eastAsia" w:ascii="仿宋" w:hAnsi="仿宋" w:eastAsia="仿宋" w:cs="仿宋"/>
                <w:b/>
                <w:bCs/>
                <w:sz w:val="28"/>
                <w:szCs w:val="28"/>
              </w:rPr>
              <w:t>务</w:t>
            </w:r>
          </w:p>
          <w:p>
            <w:pPr>
              <w:jc w:val="center"/>
              <w:rPr>
                <w:rFonts w:hint="eastAsia" w:ascii="仿宋" w:hAnsi="仿宋" w:eastAsia="仿宋" w:cs="仿宋"/>
                <w:b/>
                <w:bCs/>
                <w:sz w:val="28"/>
                <w:szCs w:val="28"/>
              </w:rPr>
            </w:pPr>
            <w:r>
              <w:rPr>
                <w:rFonts w:hint="eastAsia" w:ascii="仿宋" w:hAnsi="仿宋" w:eastAsia="仿宋" w:cs="仿宋"/>
                <w:b/>
                <w:bCs/>
                <w:sz w:val="28"/>
                <w:szCs w:val="28"/>
              </w:rPr>
              <w:t>专</w:t>
            </w:r>
          </w:p>
          <w:p>
            <w:pPr>
              <w:jc w:val="center"/>
              <w:rPr>
                <w:rFonts w:hint="eastAsia" w:ascii="仿宋" w:hAnsi="仿宋" w:eastAsia="仿宋" w:cs="仿宋"/>
                <w:b/>
                <w:bCs/>
                <w:sz w:val="28"/>
                <w:szCs w:val="28"/>
              </w:rPr>
            </w:pPr>
            <w:r>
              <w:rPr>
                <w:rFonts w:hint="eastAsia" w:ascii="仿宋" w:hAnsi="仿宋" w:eastAsia="仿宋" w:cs="仿宋"/>
                <w:b/>
                <w:bCs/>
                <w:sz w:val="28"/>
                <w:szCs w:val="28"/>
              </w:rPr>
              <w:t>长</w:t>
            </w:r>
          </w:p>
        </w:tc>
        <w:tc>
          <w:tcPr>
            <w:tcW w:w="8382" w:type="dxa"/>
            <w:gridSpan w:val="6"/>
            <w:tcBorders>
              <w:top w:val="single" w:color="auto" w:sz="4" w:space="0"/>
              <w:left w:val="nil"/>
              <w:bottom w:val="single" w:color="auto" w:sz="4" w:space="0"/>
              <w:right w:val="single" w:color="auto" w:sz="4" w:space="0"/>
            </w:tcBorders>
            <w:noWrap w:val="0"/>
            <w:tcMar>
              <w:top w:w="13" w:type="dxa"/>
              <w:left w:w="13" w:type="dxa"/>
              <w:bottom w:w="0" w:type="dxa"/>
              <w:right w:w="13" w:type="dxa"/>
            </w:tcMar>
            <w:vAlign w:val="center"/>
          </w:tcPr>
          <w:p>
            <w:pPr>
              <w:jc w:val="center"/>
              <w:rPr>
                <w:rFonts w:hint="eastAsia" w:ascii="仿宋" w:hAnsi="仿宋" w:eastAsia="仿宋" w:cs="仿宋"/>
                <w:b/>
                <w:bCs/>
                <w:sz w:val="28"/>
                <w:szCs w:val="28"/>
              </w:rPr>
            </w:pPr>
          </w:p>
        </w:tc>
      </w:tr>
      <w:tr>
        <w:tblPrEx>
          <w:tblCellMar>
            <w:top w:w="0" w:type="dxa"/>
            <w:left w:w="0" w:type="dxa"/>
            <w:bottom w:w="0" w:type="dxa"/>
            <w:right w:w="0" w:type="dxa"/>
          </w:tblCellMar>
        </w:tblPrEx>
        <w:trPr>
          <w:cantSplit/>
          <w:trHeight w:val="5396" w:hRule="atLeast"/>
          <w:jc w:val="center"/>
        </w:trPr>
        <w:tc>
          <w:tcPr>
            <w:tcW w:w="1259" w:type="dxa"/>
            <w:tcBorders>
              <w:top w:val="nil"/>
              <w:left w:val="single" w:color="auto" w:sz="4" w:space="0"/>
              <w:bottom w:val="single" w:color="000000" w:sz="4" w:space="0"/>
              <w:right w:val="single" w:color="auto" w:sz="4" w:space="0"/>
            </w:tcBorders>
            <w:noWrap w:val="0"/>
            <w:vAlign w:val="center"/>
          </w:tcPr>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个</w:t>
            </w:r>
          </w:p>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w:t>
            </w:r>
          </w:p>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简</w:t>
            </w:r>
          </w:p>
          <w:p>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介</w:t>
            </w:r>
          </w:p>
        </w:tc>
        <w:tc>
          <w:tcPr>
            <w:tcW w:w="8382"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 w:val="28"/>
                <w:szCs w:val="28"/>
              </w:rPr>
            </w:pPr>
          </w:p>
        </w:tc>
      </w:tr>
    </w:tbl>
    <w:p>
      <w:p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注：本表执业类别包含专职律师、兼职律师</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E22AE"/>
    <w:rsid w:val="11DE2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2020-03-04T14:01:00Z</dcterms:created>
  <dc:creator>Byi</dc:creator>
  <cp:lastModifiedBy>Byi</cp:lastModifiedBy>
  <dcterms:modified xsi:type="dcterms:W3CDTF">2020-03-04T14:02:03Z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